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51172"/>
      <w:bookmarkEnd w:id="0"/>
      <w:bookmarkStart w:id="1" w:name="_Hlt450066087"/>
      <w:bookmarkEnd w:id="1"/>
      <w:bookmarkStart w:id="2" w:name="_Hlt450066085"/>
      <w:bookmarkEnd w:id="2"/>
      <w:bookmarkStart w:id="3" w:name="_Hlt450039480"/>
      <w:bookmarkEnd w:id="3"/>
      <w:bookmarkStart w:id="4" w:name="_Hlt448930105"/>
      <w:bookmarkEnd w:id="4"/>
      <w:bookmarkStart w:id="5" w:name="_Hlt449016246"/>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92-bis</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911066</w:t>
      </w:r>
      <w:bookmarkStart w:id="9" w:name="_GoBack"/>
      <w:bookmarkEnd w:id="9"/>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Chongqing, China, 14</w:t>
      </w:r>
      <w:r>
        <w:rPr>
          <w:rFonts w:hint="eastAsia" w:ascii="Arial" w:hAnsi="Arial"/>
          <w:b/>
          <w:sz w:val="24"/>
          <w:szCs w:val="24"/>
          <w:vertAlign w:val="superscript"/>
          <w:lang w:val="en-US" w:eastAsia="zh-CN"/>
        </w:rPr>
        <w:t>th</w:t>
      </w:r>
      <w:r>
        <w:rPr>
          <w:rFonts w:hint="eastAsia" w:ascii="Arial" w:hAnsi="Arial"/>
          <w:b/>
          <w:sz w:val="24"/>
          <w:szCs w:val="24"/>
          <w:lang w:val="en-US" w:eastAsia="zh-CN"/>
        </w:rPr>
        <w:t>-18</w:t>
      </w:r>
      <w:r>
        <w:rPr>
          <w:rFonts w:hint="eastAsia" w:ascii="Arial" w:hAnsi="Arial"/>
          <w:b/>
          <w:sz w:val="24"/>
          <w:szCs w:val="24"/>
          <w:vertAlign w:val="superscript"/>
          <w:lang w:val="en-US" w:eastAsia="zh-CN"/>
        </w:rPr>
        <w:t>th</w:t>
      </w:r>
      <w:r>
        <w:rPr>
          <w:rFonts w:hint="eastAsia" w:ascii="Arial" w:hAnsi="Arial"/>
          <w:b/>
          <w:sz w:val="24"/>
          <w:szCs w:val="24"/>
          <w:lang w:val="en-US" w:eastAsia="zh-CN"/>
        </w:rPr>
        <w:t xml:space="preserve"> Oct</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 xml:space="preserve">Further discussion on IAB EMC requirements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8.5.5</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bidi w:val="0"/>
        <w:rPr>
          <w:rFonts w:hint="eastAsia"/>
          <w:lang w:val="en-US" w:eastAsia="zh-CN"/>
        </w:rPr>
      </w:pPr>
      <w:r>
        <w:rPr>
          <w:rFonts w:hint="eastAsia"/>
          <w:lang w:val="en-US" w:eastAsia="zh-CN"/>
        </w:rPr>
        <w:t>The IAB EMC requirements has been extensively discussed in the last meeting in[1]. A WF[2] on IAB EMC aspects has been approved. Plenty of areas of EMC technical discussion regarding EMC for IAB has been provided as:</w:t>
      </w:r>
    </w:p>
    <w:p>
      <w:pPr>
        <w:bidi w:val="0"/>
        <w:rPr>
          <w:rFonts w:hint="eastAsia"/>
          <w:i/>
          <w:iCs/>
          <w:lang w:val="en-US" w:eastAsia="zh-CN"/>
        </w:rPr>
      </w:pPr>
      <w:r>
        <w:rPr>
          <w:rFonts w:hint="eastAsia"/>
          <w:i/>
          <w:iCs/>
          <w:lang w:val="en-US" w:eastAsia="zh-CN"/>
        </w:rPr>
        <w:t xml:space="preserve"> EMC requirements</w:t>
      </w:r>
    </w:p>
    <w:p>
      <w:pPr>
        <w:bidi w:val="0"/>
        <w:rPr>
          <w:rFonts w:hint="eastAsia"/>
          <w:i/>
          <w:iCs/>
          <w:lang w:val="en-US" w:eastAsia="zh-CN"/>
        </w:rPr>
      </w:pPr>
      <w:r>
        <w:rPr>
          <w:rFonts w:hint="eastAsia"/>
          <w:i/>
          <w:iCs/>
          <w:lang w:val="en-US" w:eastAsia="zh-CN"/>
        </w:rPr>
        <w:t xml:space="preserve"> the test conditions, performance assessment </w:t>
      </w:r>
    </w:p>
    <w:p>
      <w:pPr>
        <w:bidi w:val="0"/>
        <w:rPr>
          <w:rFonts w:hint="eastAsia"/>
          <w:i/>
          <w:iCs/>
          <w:lang w:val="en-US" w:eastAsia="zh-CN"/>
        </w:rPr>
      </w:pPr>
      <w:r>
        <w:rPr>
          <w:rFonts w:hint="eastAsia"/>
          <w:i/>
          <w:iCs/>
          <w:lang w:val="en-US" w:eastAsia="zh-CN"/>
        </w:rPr>
        <w:t>Other potential issues</w:t>
      </w:r>
    </w:p>
    <w:p>
      <w:pPr>
        <w:bidi w:val="0"/>
        <w:rPr>
          <w:rFonts w:hint="default"/>
          <w:lang w:val="en-US" w:eastAsia="zh-CN"/>
        </w:rPr>
      </w:pPr>
      <w:r>
        <w:rPr>
          <w:rFonts w:hint="eastAsia"/>
          <w:lang w:val="en-US" w:eastAsia="zh-CN"/>
        </w:rPr>
        <w:t>In this contribution, we provide further analysis of the IAB EMC aspects.</w:t>
      </w:r>
    </w:p>
    <w:p>
      <w:pPr>
        <w:pStyle w:val="2"/>
        <w:rPr>
          <w:rFonts w:hint="default"/>
          <w:lang w:val="en-US" w:eastAsia="zh-CN"/>
        </w:rPr>
      </w:pPr>
      <w:r>
        <w:rPr>
          <w:lang w:eastAsia="zh-CN"/>
        </w:rPr>
        <w:t>Discussion</w:t>
      </w:r>
    </w:p>
    <w:p>
      <w:pPr>
        <w:pStyle w:val="3"/>
        <w:bidi w:val="0"/>
        <w:rPr>
          <w:rFonts w:hint="default"/>
          <w:lang w:val="en-US" w:eastAsia="zh-CN"/>
        </w:rPr>
      </w:pPr>
      <w:r>
        <w:rPr>
          <w:rFonts w:hint="eastAsia"/>
          <w:lang w:val="en-US" w:eastAsia="zh-CN"/>
        </w:rPr>
        <w:t>EMC requirements</w:t>
      </w:r>
    </w:p>
    <w:p>
      <w:pPr>
        <w:bidi w:val="0"/>
        <w:jc w:val="left"/>
        <w:rPr>
          <w:rFonts w:hint="eastAsia"/>
          <w:lang w:val="en-US" w:eastAsia="zh-CN"/>
        </w:rPr>
      </w:pPr>
      <w:r>
        <w:rPr>
          <w:rFonts w:hint="eastAsia"/>
          <w:lang w:val="en-US" w:eastAsia="zh-CN"/>
        </w:rPr>
        <w:t>In the last meeting, it has been pointed out that when it comes to EMC requirement, different ports other than antenna port but the whole enclosure is the anchor point of specific EMC requirements. Hence this kind of EMC requirements should be based on the discussion result of IAB deployment scenario. Also during the last meeting, the terminology of IAB has been discussed and a preference has been shown in a WF[3] as:</w:t>
      </w:r>
    </w:p>
    <w:p>
      <w:pPr>
        <w:bidi w:val="0"/>
        <w:jc w:val="left"/>
        <w:rPr>
          <w:rFonts w:hint="default"/>
          <w:i/>
          <w:iCs/>
          <w:lang w:val="en-US" w:eastAsia="zh-CN"/>
        </w:rPr>
      </w:pPr>
      <w:r>
        <w:rPr>
          <w:rFonts w:hint="default"/>
          <w:i/>
          <w:iCs/>
          <w:lang w:val="en-US" w:eastAsia="zh-CN"/>
        </w:rPr>
        <w:t>IAB-MT: the [subset] function as UE in IAB node to communicate with its parent node.</w:t>
      </w:r>
    </w:p>
    <w:p>
      <w:pPr>
        <w:bidi w:val="0"/>
        <w:jc w:val="left"/>
        <w:rPr>
          <w:rFonts w:hint="default"/>
          <w:i/>
          <w:iCs/>
          <w:lang w:val="en-US" w:eastAsia="zh-CN"/>
        </w:rPr>
      </w:pPr>
      <w:r>
        <w:rPr>
          <w:rFonts w:hint="default"/>
          <w:i/>
          <w:iCs/>
          <w:lang w:val="en-US" w:eastAsia="zh-CN"/>
        </w:rPr>
        <w:t>IAB-DU: the partial functions as gNB in IAB node to communicate with UE or child node</w:t>
      </w:r>
    </w:p>
    <w:p>
      <w:pPr>
        <w:bidi w:val="0"/>
        <w:jc w:val="left"/>
        <w:rPr>
          <w:rFonts w:hint="eastAsia"/>
          <w:lang w:val="en-US" w:eastAsia="zh-CN"/>
        </w:rPr>
      </w:pPr>
      <w:r>
        <w:rPr>
          <w:rFonts w:hint="eastAsia"/>
          <w:lang w:val="en-US" w:eastAsia="zh-CN"/>
        </w:rPr>
        <w:t>Based on the terminology above, we can continue the following discussion.</w:t>
      </w:r>
    </w:p>
    <w:p>
      <w:pPr>
        <w:bidi w:val="0"/>
        <w:jc w:val="left"/>
        <w:rPr>
          <w:rFonts w:hint="default"/>
          <w:lang w:val="en-US" w:eastAsia="zh-CN"/>
        </w:rPr>
      </w:pPr>
      <w:r>
        <w:rPr>
          <w:rFonts w:hint="eastAsia"/>
          <w:lang w:val="en-US" w:eastAsia="zh-CN"/>
        </w:rPr>
        <w:t>A typical scenario is IAB-DU and IAB-MT being placed in indoor and outdoor, respectively. This is a specific scenario especially for FR2 in U.S. and this means outdoor IAB-DU and indoor IAB-MT. For outdoor use cases, the EMC environment is much more severe than indoor usecases with higher interfere to the EUT. To be more specified, following requirement should be revisited for outdoor uses: surge, conducted immunity, and EFT. However, the conducted emission and radiated emission requirement can be relaxed to some extend. For the indoor cases, the conducted emission and radiated emission will require more stringent requirement than current requirement for all base stations. In this time, a case by case study is needed to carefully investigate the precise requirement to both IAB-DU and IAB-MTU.</w:t>
      </w:r>
    </w:p>
    <w:p>
      <w:pPr>
        <w:bidi w:val="0"/>
        <w:jc w:val="left"/>
        <w:rPr>
          <w:rFonts w:hint="eastAsia"/>
          <w:b/>
          <w:bCs/>
          <w:lang w:val="en-US" w:eastAsia="zh-CN"/>
        </w:rPr>
      </w:pPr>
      <w:r>
        <w:rPr>
          <w:rFonts w:hint="eastAsia"/>
          <w:b/>
          <w:bCs/>
          <w:lang w:val="en-US" w:eastAsia="zh-CN"/>
        </w:rPr>
        <w:t>Observation 1:  A case by case study is needed to carefully investigate the precise requirement to both IAB-DU and IAB-MT for indoor and outdoor environment.</w:t>
      </w:r>
    </w:p>
    <w:p>
      <w:pPr>
        <w:bidi w:val="0"/>
        <w:jc w:val="left"/>
        <w:rPr>
          <w:rFonts w:hint="default"/>
          <w:b w:val="0"/>
          <w:bCs w:val="0"/>
          <w:lang w:val="en-US" w:eastAsia="zh-CN"/>
        </w:rPr>
      </w:pPr>
      <w:r>
        <w:rPr>
          <w:rFonts w:hint="eastAsia"/>
          <w:b w:val="0"/>
          <w:bCs w:val="0"/>
          <w:lang w:val="en-US" w:eastAsia="zh-CN"/>
        </w:rPr>
        <w:t>If the IAB-DU and IAB-MT are in the same enclousure, legacy design of the base station and UE are fulfilling different requirements of TS 38.113[4] and TS 38.124[5] respectively. The comparison has been provided in previous meeting in [6]. It is shown below in table 1.</w:t>
      </w:r>
    </w:p>
    <w:p>
      <w:pPr>
        <w:bidi w:val="0"/>
        <w:jc w:val="center"/>
        <w:rPr>
          <w:rFonts w:hint="eastAsia"/>
          <w:b w:val="0"/>
          <w:bCs w:val="0"/>
          <w:lang w:val="en-US" w:eastAsia="zh-CN"/>
        </w:rPr>
      </w:pPr>
      <w:r>
        <w:rPr>
          <w:rFonts w:hint="eastAsia"/>
          <w:lang w:val="en-US" w:eastAsia="zh-CN"/>
        </w:rPr>
        <w:t>Table 1 Difference between UE EMC and BS EMC</w:t>
      </w:r>
    </w:p>
    <w:tbl>
      <w:tblPr>
        <w:tblStyle w:val="53"/>
        <w:tblW w:w="10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1"/>
        <w:gridCol w:w="3512"/>
        <w:gridCol w:w="3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11" w:type="dxa"/>
          </w:tcPr>
          <w:p>
            <w:pPr>
              <w:jc w:val="left"/>
              <w:rPr>
                <w:rFonts w:hint="default"/>
                <w:vertAlign w:val="baseline"/>
                <w:lang w:val="en-US" w:eastAsia="zh-CN"/>
              </w:rPr>
            </w:pPr>
          </w:p>
        </w:tc>
        <w:tc>
          <w:tcPr>
            <w:tcW w:w="3512" w:type="dxa"/>
          </w:tcPr>
          <w:p>
            <w:pPr>
              <w:jc w:val="left"/>
              <w:rPr>
                <w:rFonts w:hint="default"/>
                <w:vertAlign w:val="baseline"/>
                <w:lang w:val="en-US" w:eastAsia="zh-CN"/>
              </w:rPr>
            </w:pPr>
            <w:r>
              <w:rPr>
                <w:rFonts w:hint="eastAsia"/>
                <w:vertAlign w:val="baseline"/>
                <w:lang w:val="en-US" w:eastAsia="zh-CN"/>
              </w:rPr>
              <w:t>Requirements of UE in TS 38.124</w:t>
            </w:r>
          </w:p>
        </w:tc>
        <w:tc>
          <w:tcPr>
            <w:tcW w:w="3512" w:type="dxa"/>
          </w:tcPr>
          <w:p>
            <w:pPr>
              <w:jc w:val="left"/>
              <w:rPr>
                <w:rFonts w:hint="default"/>
                <w:vertAlign w:val="baseline"/>
                <w:lang w:val="en-US" w:eastAsia="zh-CN"/>
              </w:rPr>
            </w:pPr>
            <w:r>
              <w:rPr>
                <w:rFonts w:hint="eastAsia"/>
                <w:vertAlign w:val="baseline"/>
                <w:lang w:val="en-US" w:eastAsia="zh-CN"/>
              </w:rPr>
              <w:t>Requirements of BS in TS 38.113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11" w:type="dxa"/>
          </w:tcPr>
          <w:p>
            <w:pPr>
              <w:jc w:val="left"/>
              <w:rPr>
                <w:rFonts w:hint="default"/>
                <w:vertAlign w:val="baseline"/>
                <w:lang w:val="en-US" w:eastAsia="zh-CN"/>
              </w:rPr>
            </w:pPr>
            <w:r>
              <w:rPr>
                <w:rFonts w:hint="eastAsia"/>
                <w:vertAlign w:val="baseline"/>
                <w:lang w:val="en-US" w:eastAsia="zh-CN"/>
              </w:rPr>
              <w:t xml:space="preserve">Radiated immunity </w:t>
            </w:r>
          </w:p>
        </w:tc>
        <w:tc>
          <w:tcPr>
            <w:tcW w:w="3512" w:type="dxa"/>
          </w:tcPr>
          <w:p>
            <w:pPr>
              <w:jc w:val="left"/>
            </w:pPr>
            <w:r>
              <w:rPr>
                <w:rFonts w:hint="eastAsia"/>
                <w:lang w:val="en-US" w:eastAsia="zh-CN"/>
              </w:rPr>
              <w:t xml:space="preserve">Frequency range: </w:t>
            </w:r>
            <w:r>
              <w:t>80 MHz – 1000 MHz and [1400] MHZ to [2700] MHz</w:t>
            </w:r>
          </w:p>
          <w:p>
            <w:pPr>
              <w:jc w:val="left"/>
              <w:rPr>
                <w:rFonts w:hint="default" w:eastAsia="宋体"/>
                <w:lang w:val="en-US" w:eastAsia="zh-CN"/>
              </w:rPr>
            </w:pPr>
            <w:r>
              <w:rPr>
                <w:rFonts w:hint="eastAsia"/>
                <w:lang w:val="en-US" w:eastAsia="zh-CN"/>
              </w:rPr>
              <w:t>Test level: 3V/m</w:t>
            </w:r>
          </w:p>
        </w:tc>
        <w:tc>
          <w:tcPr>
            <w:tcW w:w="3512" w:type="dxa"/>
          </w:tcPr>
          <w:p>
            <w:pPr>
              <w:jc w:val="left"/>
            </w:pPr>
            <w:r>
              <w:rPr>
                <w:rFonts w:hint="eastAsia"/>
                <w:lang w:val="en-US" w:eastAsia="zh-CN"/>
              </w:rPr>
              <w:t xml:space="preserve">Frequency range: </w:t>
            </w:r>
            <w:r>
              <w:t xml:space="preserve">80 MHz – </w:t>
            </w:r>
            <w:r>
              <w:rPr>
                <w:rFonts w:hint="eastAsia"/>
                <w:lang w:val="en-US" w:eastAsia="zh-CN"/>
              </w:rPr>
              <w:t>6</w:t>
            </w:r>
            <w:r>
              <w:t xml:space="preserve">000 MHz </w:t>
            </w:r>
          </w:p>
          <w:p>
            <w:pPr>
              <w:jc w:val="left"/>
              <w:rPr>
                <w:rFonts w:hint="eastAsia"/>
                <w:vertAlign w:val="baseline"/>
                <w:lang w:val="en-US" w:eastAsia="zh-CN"/>
              </w:rPr>
            </w:pPr>
            <w:r>
              <w:rPr>
                <w:rFonts w:hint="eastAsia"/>
                <w:lang w:val="en-US" w:eastAsia="zh-CN"/>
              </w:rPr>
              <w:t>Test level: 3V/m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11" w:type="dxa"/>
          </w:tcPr>
          <w:p>
            <w:pPr>
              <w:jc w:val="left"/>
              <w:rPr>
                <w:rFonts w:hint="default"/>
                <w:vertAlign w:val="baseline"/>
                <w:lang w:val="en-US" w:eastAsia="zh-CN"/>
              </w:rPr>
            </w:pPr>
            <w:r>
              <w:rPr>
                <w:rFonts w:hint="eastAsia"/>
                <w:vertAlign w:val="baseline"/>
                <w:lang w:val="en-US" w:eastAsia="zh-CN"/>
              </w:rPr>
              <w:t>Exclusion band</w:t>
            </w:r>
          </w:p>
        </w:tc>
        <w:tc>
          <w:tcPr>
            <w:tcW w:w="3512" w:type="dxa"/>
          </w:tcPr>
          <w:p>
            <w:pPr>
              <w:jc w:val="left"/>
              <w:rPr>
                <w:rFonts w:hint="default"/>
                <w:vertAlign w:val="baseline"/>
                <w:lang w:val="en-US" w:eastAsia="zh-CN"/>
              </w:rPr>
            </w:pPr>
            <w:r>
              <w:rPr>
                <w:rFonts w:hint="eastAsia"/>
                <w:vertAlign w:val="baseline"/>
                <w:lang w:val="en-US" w:eastAsia="zh-CN"/>
              </w:rPr>
              <w:t>85MHz</w:t>
            </w:r>
          </w:p>
        </w:tc>
        <w:tc>
          <w:tcPr>
            <w:tcW w:w="3512" w:type="dxa"/>
          </w:tcPr>
          <w:p>
            <w:pPr>
              <w:jc w:val="left"/>
              <w:rPr>
                <w:rFonts w:hint="eastAsia"/>
                <w:vertAlign w:val="baseline"/>
                <w:lang w:val="en-US" w:eastAsia="zh-CN"/>
              </w:rPr>
            </w:pPr>
            <w:r>
              <w:rPr>
                <w:rFonts w:hint="eastAsia"/>
                <w:vertAlign w:val="baseline"/>
                <w:lang w:val="en-US" w:eastAsia="zh-CN"/>
              </w:rPr>
              <w:t>For BS type 1-C and 1-H: 20/60MHz</w:t>
            </w:r>
          </w:p>
          <w:p>
            <w:pPr>
              <w:jc w:val="left"/>
              <w:rPr>
                <w:rFonts w:hint="default"/>
                <w:vertAlign w:val="baseline"/>
                <w:lang w:val="en-US" w:eastAsia="zh-CN"/>
              </w:rPr>
            </w:pPr>
            <w:r>
              <w:rPr>
                <w:rFonts w:hint="eastAsia"/>
                <w:vertAlign w:val="baseline"/>
                <w:lang w:val="en-US" w:eastAsia="zh-CN"/>
              </w:rPr>
              <w:t>For BS type 1-O: 60/200MHz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11" w:type="dxa"/>
          </w:tcPr>
          <w:p>
            <w:pPr>
              <w:jc w:val="left"/>
              <w:rPr>
                <w:rFonts w:hint="default"/>
                <w:vertAlign w:val="baseline"/>
                <w:lang w:val="en-US" w:eastAsia="zh-CN"/>
              </w:rPr>
            </w:pPr>
            <w:r>
              <w:rPr>
                <w:rFonts w:hint="eastAsia"/>
                <w:vertAlign w:val="baseline"/>
                <w:lang w:val="en-US" w:eastAsia="zh-CN"/>
              </w:rPr>
              <w:t xml:space="preserve">Radiated Emission </w:t>
            </w:r>
          </w:p>
        </w:tc>
        <w:tc>
          <w:tcPr>
            <w:tcW w:w="3512" w:type="dxa"/>
          </w:tcPr>
          <w:p>
            <w:pPr>
              <w:jc w:val="left"/>
              <w:rPr>
                <w:rFonts w:hint="default"/>
                <w:vertAlign w:val="baseline"/>
                <w:lang w:val="en-US" w:eastAsia="zh-CN"/>
              </w:rPr>
            </w:pPr>
            <w:r>
              <w:rPr>
                <w:rFonts w:hint="eastAsia"/>
                <w:vertAlign w:val="baseline"/>
                <w:lang w:val="en-US" w:eastAsia="zh-CN"/>
              </w:rPr>
              <w:t>Ideal mode and traffic mode</w:t>
            </w:r>
          </w:p>
        </w:tc>
        <w:tc>
          <w:tcPr>
            <w:tcW w:w="3512" w:type="dxa"/>
          </w:tcPr>
          <w:p>
            <w:pPr>
              <w:jc w:val="left"/>
              <w:rPr>
                <w:rFonts w:hint="default"/>
                <w:vertAlign w:val="baseline"/>
                <w:lang w:val="en-US" w:eastAsia="zh-CN"/>
              </w:rPr>
            </w:pPr>
            <w:r>
              <w:rPr>
                <w:rFonts w:hint="eastAsia"/>
                <w:vertAlign w:val="baseline"/>
                <w:lang w:val="en-US" w:eastAsia="zh-CN"/>
              </w:rPr>
              <w:t>Same requirement as  UE traffic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11" w:type="dxa"/>
          </w:tcPr>
          <w:p>
            <w:pPr>
              <w:jc w:val="left"/>
              <w:rPr>
                <w:rFonts w:hint="default"/>
                <w:vertAlign w:val="baseline"/>
                <w:lang w:val="en-US" w:eastAsia="zh-CN"/>
              </w:rPr>
            </w:pPr>
            <w:r>
              <w:rPr>
                <w:rFonts w:hint="eastAsia"/>
                <w:vertAlign w:val="baseline"/>
                <w:lang w:val="en-US" w:eastAsia="zh-CN"/>
              </w:rPr>
              <w:t xml:space="preserve">Other Emission requirements </w:t>
            </w:r>
          </w:p>
        </w:tc>
        <w:tc>
          <w:tcPr>
            <w:tcW w:w="3512" w:type="dxa"/>
          </w:tcPr>
          <w:p>
            <w:pPr>
              <w:jc w:val="left"/>
              <w:rPr>
                <w:rFonts w:hint="default"/>
                <w:vertAlign w:val="baseline"/>
                <w:lang w:val="en-US" w:eastAsia="zh-CN"/>
              </w:rPr>
            </w:pPr>
            <w:r>
              <w:rPr>
                <w:rFonts w:hint="eastAsia"/>
                <w:vertAlign w:val="baseline"/>
                <w:lang w:val="en-US" w:eastAsia="zh-CN"/>
              </w:rPr>
              <w:t>Not defined</w:t>
            </w:r>
          </w:p>
        </w:tc>
        <w:tc>
          <w:tcPr>
            <w:tcW w:w="3512" w:type="dxa"/>
          </w:tcPr>
          <w:p>
            <w:pPr>
              <w:jc w:val="left"/>
              <w:rPr>
                <w:rFonts w:hint="eastAsia"/>
                <w:vertAlign w:val="baseline"/>
                <w:lang w:val="en-US" w:eastAsia="zh-CN"/>
              </w:rPr>
            </w:pPr>
            <w:r>
              <w:rPr>
                <w:rFonts w:hint="eastAsia"/>
                <w:vertAlign w:val="baseline"/>
                <w:lang w:val="en-US" w:eastAsia="zh-CN"/>
              </w:rPr>
              <w:t>Conducted emission</w:t>
            </w:r>
          </w:p>
          <w:p>
            <w:pPr>
              <w:jc w:val="left"/>
              <w:rPr>
                <w:rFonts w:hint="eastAsia"/>
                <w:vertAlign w:val="baseline"/>
                <w:lang w:val="en-US" w:eastAsia="zh-CN"/>
              </w:rPr>
            </w:pPr>
            <w:r>
              <w:rPr>
                <w:rFonts w:hint="eastAsia"/>
                <w:vertAlign w:val="baseline"/>
                <w:lang w:val="en-US" w:eastAsia="zh-CN"/>
              </w:rPr>
              <w:t>Harmonic current emission</w:t>
            </w:r>
          </w:p>
          <w:p>
            <w:pPr>
              <w:jc w:val="left"/>
              <w:rPr>
                <w:rFonts w:hint="default"/>
                <w:vertAlign w:val="baseline"/>
                <w:lang w:val="en-US" w:eastAsia="zh-CN"/>
              </w:rPr>
            </w:pPr>
            <w:r>
              <w:rPr>
                <w:rFonts w:hint="eastAsia"/>
                <w:vertAlign w:val="baseline"/>
                <w:lang w:val="en-US" w:eastAsia="zh-CN"/>
              </w:rPr>
              <w:t>Voltage fluctuation and flicker</w:t>
            </w:r>
          </w:p>
        </w:tc>
      </w:tr>
    </w:tbl>
    <w:p>
      <w:pPr>
        <w:bidi w:val="0"/>
        <w:jc w:val="left"/>
        <w:rPr>
          <w:rFonts w:hint="default"/>
          <w:lang w:val="en-US" w:eastAsia="zh-CN"/>
        </w:rPr>
      </w:pPr>
      <w:r>
        <w:rPr>
          <w:rFonts w:hint="eastAsia"/>
          <w:lang w:val="en-US" w:eastAsia="zh-CN"/>
        </w:rPr>
        <w:t>Based on the terminology defined above, the IAB-MT has the function as UE hence a quite straightforward consideration is that the UE EMC requirements should be applied to IAB-MT. Similarly, the BS EMC requirements should be applied to IAB-DU. While it has been stated that for EMC requirements, the enclosure is an anchor point to perform quite a lot of requirements. In this case, when defining the radiated immunity and radiated emission requirements, we will overcome some problems as different requirements apply for BS and UE while we might need to consider a fixed number.</w:t>
      </w:r>
    </w:p>
    <w:p>
      <w:pPr>
        <w:bidi w:val="0"/>
        <w:jc w:val="left"/>
        <w:rPr>
          <w:rFonts w:hint="eastAsia"/>
          <w:b/>
          <w:bCs/>
          <w:lang w:val="en-US" w:eastAsia="zh-CN"/>
        </w:rPr>
      </w:pPr>
      <w:r>
        <w:rPr>
          <w:rFonts w:hint="eastAsia"/>
          <w:lang w:val="en-US" w:eastAsia="zh-CN"/>
        </w:rPr>
        <w:t>One of the option is to apply the most stringent requirement to both IAB-DU and IAB-MT. But this makes the IAB over qualified with higher expense on the design which absolutely is not a good answer. In this case, careful study case by case for all these requirements needs to be studied.</w:t>
      </w:r>
    </w:p>
    <w:p>
      <w:pPr>
        <w:bidi w:val="0"/>
        <w:jc w:val="left"/>
        <w:rPr>
          <w:rFonts w:hint="eastAsia"/>
          <w:b/>
          <w:bCs/>
          <w:lang w:val="en-US" w:eastAsia="zh-CN"/>
        </w:rPr>
      </w:pPr>
      <w:r>
        <w:rPr>
          <w:rFonts w:hint="eastAsia"/>
          <w:b/>
          <w:bCs/>
          <w:lang w:val="en-US" w:eastAsia="zh-CN"/>
        </w:rPr>
        <w:t>Observation 2: Apply the most stringent requirement for both IAB-DU and IAB-MT is not a good choice. Requirements should be discussed case by case.</w:t>
      </w:r>
    </w:p>
    <w:p>
      <w:pPr>
        <w:pStyle w:val="3"/>
        <w:bidi w:val="0"/>
        <w:rPr>
          <w:rFonts w:hint="default"/>
          <w:lang w:val="en-US" w:eastAsia="zh-CN"/>
        </w:rPr>
      </w:pPr>
      <w:r>
        <w:rPr>
          <w:rFonts w:hint="eastAsia"/>
          <w:lang w:val="en-US" w:eastAsia="zh-CN"/>
        </w:rPr>
        <w:t>Test Condition and Performance assessment</w:t>
      </w:r>
    </w:p>
    <w:p>
      <w:pPr>
        <w:bidi w:val="0"/>
        <w:jc w:val="left"/>
        <w:rPr>
          <w:rFonts w:hint="eastAsia"/>
          <w:lang w:val="en-US" w:eastAsia="zh-CN"/>
        </w:rPr>
      </w:pPr>
      <w:r>
        <w:rPr>
          <w:rFonts w:hint="eastAsia"/>
          <w:lang w:val="en-US" w:eastAsia="zh-CN"/>
        </w:rPr>
        <w:t>As it is already shown in table 1, the receiver exclusion band are different for BS and UE. Similarly, it is not straight forward work to select any of this number to be applied to an IAB-node. More study will be needed for exclusion band.</w:t>
      </w:r>
    </w:p>
    <w:p>
      <w:pPr>
        <w:bidi w:val="0"/>
        <w:jc w:val="left"/>
        <w:rPr>
          <w:rFonts w:hint="eastAsia"/>
          <w:lang w:val="en-US" w:eastAsia="zh-CN"/>
        </w:rPr>
      </w:pPr>
      <w:r>
        <w:rPr>
          <w:rFonts w:hint="eastAsia"/>
          <w:lang w:val="en-US" w:eastAsia="zh-CN"/>
        </w:rPr>
        <w:t>The communication links and the way to assess it is another problem. Take the base station as an example. The communication link is established between a base station and a UE simulator. Hence a loop capturing both DL and UL can be accessed. Consequently the loop can be assessed as the criteria of 90% throughput. The wanted signal power for this communication link is reference sensitivity + 15dB for legacy UTRA and LTE base stations while there is no specific number that defined for NR. So the communication link to IAB-DU can be established as the same way as a base station.</w:t>
      </w:r>
    </w:p>
    <w:p>
      <w:pPr>
        <w:bidi w:val="0"/>
        <w:jc w:val="left"/>
        <w:rPr>
          <w:rFonts w:hint="eastAsia"/>
          <w:lang w:val="en-US" w:eastAsia="zh-CN"/>
        </w:rPr>
      </w:pPr>
      <w:r>
        <w:rPr>
          <w:rFonts w:hint="eastAsia"/>
          <w:lang w:val="en-US" w:eastAsia="zh-CN"/>
        </w:rPr>
        <w:t>However, when it comes to the link of a UE, it has been captured in TS 38.124[5] a base station simulator is used to set up the communication link. So both UE simulator and BS simulator will be needed in the test set-up of an IAB-node. The set-up can be seen below in figure 1.</w:t>
      </w:r>
    </w:p>
    <w:p>
      <w:pPr>
        <w:bidi w:val="0"/>
        <w:jc w:val="center"/>
        <w:rPr>
          <w:rFonts w:hint="default"/>
          <w:lang w:val="en-US" w:eastAsia="zh-CN"/>
        </w:rPr>
      </w:pPr>
      <w:r>
        <w:rPr>
          <w:rFonts w:hint="eastAsia"/>
          <w:lang w:val="en-US" w:eastAsia="zh-CN"/>
        </w:rPr>
        <w:t>Figure 1 Communication link for an IAB</w:t>
      </w:r>
    </w:p>
    <w:p>
      <w:pPr>
        <w:bidi w:val="0"/>
        <w:jc w:val="center"/>
        <w:rPr>
          <w:rFonts w:hint="eastAsia"/>
          <w:lang w:val="en-US" w:eastAsia="zh-CN"/>
        </w:rPr>
      </w:pPr>
      <w:r>
        <w:drawing>
          <wp:inline distT="0" distB="0" distL="114300" distR="114300">
            <wp:extent cx="5828665" cy="2505075"/>
            <wp:effectExtent l="0" t="0" r="6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828665" cy="2505075"/>
                    </a:xfrm>
                    <a:prstGeom prst="rect">
                      <a:avLst/>
                    </a:prstGeom>
                    <a:noFill/>
                    <a:ln>
                      <a:noFill/>
                    </a:ln>
                  </pic:spPr>
                </pic:pic>
              </a:graphicData>
            </a:graphic>
          </wp:inline>
        </w:drawing>
      </w:r>
    </w:p>
    <w:p>
      <w:pPr>
        <w:bidi w:val="0"/>
        <w:jc w:val="left"/>
        <w:rPr>
          <w:rFonts w:hint="eastAsia"/>
          <w:lang w:val="en-US" w:eastAsia="zh-CN"/>
        </w:rPr>
      </w:pPr>
      <w:r>
        <w:rPr>
          <w:rFonts w:hint="eastAsia"/>
          <w:lang w:val="en-US" w:eastAsia="zh-CN"/>
        </w:rPr>
        <w:t>We know from previous discussion, the performance criteria is the throughput of the communication link. It can be seen above figure 1 that two links as link1 and link2 has been established. Usually the criteria is for link1 and link2 separately. Each link should has 90% more throughput in this case. However, some problem will occur in this case.</w:t>
      </w:r>
    </w:p>
    <w:p>
      <w:pPr>
        <w:bidi w:val="0"/>
        <w:jc w:val="left"/>
        <w:rPr>
          <w:rFonts w:hint="eastAsia"/>
          <w:lang w:val="en-US" w:eastAsia="zh-CN"/>
        </w:rPr>
      </w:pPr>
      <w:r>
        <w:rPr>
          <w:rFonts w:hint="eastAsia"/>
          <w:lang w:val="en-US" w:eastAsia="zh-CN"/>
        </w:rPr>
        <w:t>1, With shared hardware and OTA links to be set-up, when link1 is considered, the wanted signal for link2 will be an in-band interference signal at this time.</w:t>
      </w:r>
    </w:p>
    <w:p>
      <w:pPr>
        <w:bidi w:val="0"/>
        <w:jc w:val="left"/>
        <w:rPr>
          <w:rFonts w:hint="eastAsia"/>
          <w:lang w:val="en-US" w:eastAsia="zh-CN"/>
        </w:rPr>
      </w:pPr>
      <w:r>
        <w:rPr>
          <w:rFonts w:hint="eastAsia"/>
          <w:lang w:val="en-US" w:eastAsia="zh-CN"/>
        </w:rPr>
        <w:t>2, Legacy performance criteria only justify the link1 and link2 separately. However, the inner function of an IAB cannot be assessed with legacy criteria. A new performance criteria will be needed for an IAB-node.</w:t>
      </w:r>
    </w:p>
    <w:p>
      <w:pPr>
        <w:bidi w:val="0"/>
        <w:jc w:val="left"/>
        <w:rPr>
          <w:rFonts w:hint="default"/>
          <w:b/>
          <w:bCs/>
          <w:lang w:val="en-US" w:eastAsia="zh-CN"/>
        </w:rPr>
      </w:pPr>
      <w:r>
        <w:rPr>
          <w:rFonts w:hint="eastAsia"/>
          <w:b/>
          <w:bCs/>
          <w:lang w:val="en-US" w:eastAsia="zh-CN"/>
        </w:rPr>
        <w:t>Observation 3: Plenty of work of communication link and performance criteria are needed for an IAB-node.</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lang w:val="en-US" w:eastAsia="zh-CN"/>
        </w:rPr>
      </w:pPr>
      <w:r>
        <w:rPr>
          <w:rFonts w:hint="eastAsia"/>
          <w:b w:val="0"/>
          <w:bCs w:val="0"/>
          <w:lang w:val="en-US" w:eastAsia="zh-CN"/>
        </w:rPr>
        <w:t>Given observation 1,2,3 above, we all know that IAB-node is quite different from a base station when considering EMC perspective. Simply add the requirement and corresponding test conditions and performance criteria of IAB into the base station EMC specification TS 38.113 is not a good way. Number of work are needed for IAB EMC. It is better for us to start the technical study and discussion as early as possible.</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lang w:val="en-US" w:eastAsia="zh-CN"/>
        </w:rPr>
      </w:pPr>
      <w:r>
        <w:rPr>
          <w:rFonts w:hint="eastAsia"/>
          <w:b/>
          <w:bCs/>
          <w:lang w:val="en-US" w:eastAsia="zh-CN"/>
        </w:rPr>
        <w:t>Proposal: To have a new TS for IAB EMC as IAB-node is quite different from a base station from EMC perspective.</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analysis of IAB EMC and the observations and proposals are:</w:t>
      </w:r>
    </w:p>
    <w:p>
      <w:pPr>
        <w:bidi w:val="0"/>
        <w:jc w:val="left"/>
        <w:rPr>
          <w:rFonts w:hint="eastAsia"/>
          <w:b/>
          <w:bCs/>
          <w:lang w:val="en-US" w:eastAsia="zh-CN"/>
        </w:rPr>
      </w:pPr>
      <w:bookmarkStart w:id="7" w:name="OLE_LINK1"/>
      <w:bookmarkStart w:id="8" w:name="OLE_LINK2"/>
      <w:r>
        <w:rPr>
          <w:rFonts w:hint="eastAsia"/>
          <w:b/>
          <w:bCs/>
          <w:lang w:val="en-US" w:eastAsia="zh-CN"/>
        </w:rPr>
        <w:t>Observation 1:  A case by case study is needed to carefully investigate the precise requirement to both IAB-DU and IAB-MT for indoor and outdoor environment.</w:t>
      </w:r>
    </w:p>
    <w:p>
      <w:pPr>
        <w:bidi w:val="0"/>
        <w:jc w:val="left"/>
        <w:rPr>
          <w:rFonts w:hint="eastAsia"/>
          <w:b/>
          <w:bCs/>
          <w:lang w:val="en-US" w:eastAsia="zh-CN"/>
        </w:rPr>
      </w:pPr>
      <w:r>
        <w:rPr>
          <w:rFonts w:hint="eastAsia"/>
          <w:b/>
          <w:bCs/>
          <w:lang w:val="en-US" w:eastAsia="zh-CN"/>
        </w:rPr>
        <w:t>Observation 2: Apply the most stringent requirement for both IAB-DU and IAB-MT is not a good choice. Requirements should be discussed case by case.</w:t>
      </w:r>
    </w:p>
    <w:p>
      <w:pPr>
        <w:bidi w:val="0"/>
        <w:jc w:val="left"/>
        <w:rPr>
          <w:rFonts w:hint="default"/>
          <w:b/>
          <w:bCs/>
          <w:lang w:val="en-US" w:eastAsia="zh-CN"/>
        </w:rPr>
      </w:pPr>
      <w:r>
        <w:rPr>
          <w:rFonts w:hint="eastAsia"/>
          <w:b/>
          <w:bCs/>
          <w:lang w:val="en-US" w:eastAsia="zh-CN"/>
        </w:rPr>
        <w:t>Observation 3: Plenty of work of communication link and performance criteria are needed for an IAB-node.</w:t>
      </w:r>
    </w:p>
    <w:bookmarkEnd w:id="7"/>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lang w:val="en-US" w:eastAsia="zh-CN"/>
        </w:rPr>
      </w:pPr>
      <w:r>
        <w:rPr>
          <w:rFonts w:hint="eastAsia"/>
          <w:b/>
          <w:bCs/>
          <w:lang w:val="en-US" w:eastAsia="zh-CN"/>
        </w:rPr>
        <w:t>Proposal: To have a new TS for IAB EMC as IAB-node is quite different from a base station from EMC perspective.</w:t>
      </w:r>
    </w:p>
    <w:bookmarkEnd w:id="8"/>
    <w:p>
      <w:pPr>
        <w:pStyle w:val="2"/>
        <w:numPr>
          <w:ilvl w:val="0"/>
          <w:numId w:val="0"/>
        </w:numPr>
        <w:tabs>
          <w:tab w:val="clear" w:pos="432"/>
        </w:tabs>
        <w:ind w:leftChars="0"/>
        <w:rPr>
          <w:rFonts w:cs="Arial"/>
          <w:lang w:eastAsia="zh-CN"/>
        </w:rPr>
      </w:pPr>
      <w:r>
        <w:rPr>
          <w:rFonts w:cs="Arial"/>
          <w:lang w:eastAsia="zh-CN"/>
        </w:rPr>
        <w:t>References</w:t>
      </w:r>
    </w:p>
    <w:p>
      <w:pPr>
        <w:pStyle w:val="93"/>
        <w:rPr>
          <w:rFonts w:hint="default"/>
          <w:lang w:val="en-US" w:eastAsia="zh-CN"/>
        </w:rPr>
      </w:pPr>
      <w:r>
        <w:rPr>
          <w:rFonts w:hint="eastAsia"/>
          <w:lang w:val="en-US" w:eastAsia="zh-CN"/>
        </w:rPr>
        <w:t xml:space="preserve">R4-1908349 on IAB EMC requirement and further plan, ZTE </w:t>
      </w:r>
    </w:p>
    <w:p>
      <w:pPr>
        <w:pStyle w:val="93"/>
        <w:rPr>
          <w:rFonts w:hint="default"/>
          <w:lang w:val="en-US" w:eastAsia="zh-CN"/>
        </w:rPr>
      </w:pPr>
      <w:r>
        <w:rPr>
          <w:rFonts w:hint="default"/>
          <w:lang w:val="en-US" w:eastAsia="zh-CN"/>
        </w:rPr>
        <w:t>R4-1910475 WF on IAB EMC aspects</w:t>
      </w:r>
      <w:r>
        <w:rPr>
          <w:rFonts w:hint="eastAsia"/>
          <w:lang w:val="en-US" w:eastAsia="zh-CN"/>
        </w:rPr>
        <w:t>, ZTE, Ericsson</w:t>
      </w:r>
    </w:p>
    <w:p>
      <w:pPr>
        <w:pStyle w:val="93"/>
        <w:rPr>
          <w:rFonts w:hint="default"/>
          <w:lang w:val="en-US" w:eastAsia="zh-CN"/>
        </w:rPr>
      </w:pPr>
      <w:r>
        <w:rPr>
          <w:rFonts w:hint="eastAsia"/>
          <w:lang w:val="en-US" w:eastAsia="zh-CN"/>
        </w:rPr>
        <w:t>R4-1910404 WF on terminologies for IAB, Samsung</w:t>
      </w:r>
    </w:p>
    <w:p>
      <w:pPr>
        <w:pStyle w:val="93"/>
        <w:rPr>
          <w:rFonts w:hint="default"/>
          <w:lang w:val="en-US" w:eastAsia="zh-CN"/>
        </w:rPr>
      </w:pPr>
      <w:r>
        <w:rPr>
          <w:rFonts w:hint="eastAsia"/>
          <w:lang w:val="en-US" w:eastAsia="zh-CN"/>
        </w:rPr>
        <w:t>TS 38.113</w:t>
      </w:r>
    </w:p>
    <w:p>
      <w:pPr>
        <w:pStyle w:val="93"/>
        <w:rPr>
          <w:rFonts w:hint="default"/>
          <w:lang w:val="en-US" w:eastAsia="zh-CN"/>
        </w:rPr>
      </w:pPr>
      <w:r>
        <w:rPr>
          <w:rFonts w:hint="eastAsia"/>
          <w:lang w:val="en-US" w:eastAsia="zh-CN"/>
        </w:rPr>
        <w:t>TS 38.124</w:t>
      </w:r>
    </w:p>
    <w:p>
      <w:pPr>
        <w:pStyle w:val="93"/>
        <w:rPr>
          <w:rFonts w:hint="default"/>
          <w:lang w:val="en-US" w:eastAsia="zh-CN"/>
        </w:rPr>
      </w:pPr>
      <w:r>
        <w:rPr>
          <w:rFonts w:hint="default"/>
          <w:lang w:val="en-US" w:eastAsia="zh-CN"/>
        </w:rPr>
        <w:t>R4-1905539 on IAB EMC</w:t>
      </w:r>
      <w:r>
        <w:rPr>
          <w:rFonts w:hint="eastAsia"/>
          <w:lang w:val="en-US" w:eastAsia="zh-CN"/>
        </w:rPr>
        <w:t>, ZTE</w:t>
      </w: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Lath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3E06120"/>
    <w:rsid w:val="041507FA"/>
    <w:rsid w:val="04763DB6"/>
    <w:rsid w:val="047C7717"/>
    <w:rsid w:val="05963C46"/>
    <w:rsid w:val="06185017"/>
    <w:rsid w:val="07194BEB"/>
    <w:rsid w:val="07A455C6"/>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B13CC5"/>
    <w:rsid w:val="15EA0565"/>
    <w:rsid w:val="166C0F69"/>
    <w:rsid w:val="169E6FF0"/>
    <w:rsid w:val="176F3E0E"/>
    <w:rsid w:val="18244A12"/>
    <w:rsid w:val="183777B9"/>
    <w:rsid w:val="19553F68"/>
    <w:rsid w:val="19C0717F"/>
    <w:rsid w:val="19E510C0"/>
    <w:rsid w:val="1A670C75"/>
    <w:rsid w:val="1BB41235"/>
    <w:rsid w:val="1BDD4E03"/>
    <w:rsid w:val="1C3E5BEE"/>
    <w:rsid w:val="1CF339B8"/>
    <w:rsid w:val="1D000C57"/>
    <w:rsid w:val="1D9D6581"/>
    <w:rsid w:val="1E4067BA"/>
    <w:rsid w:val="1E9A2C7A"/>
    <w:rsid w:val="1F0870E3"/>
    <w:rsid w:val="1F4443F8"/>
    <w:rsid w:val="1F697F0E"/>
    <w:rsid w:val="1F825716"/>
    <w:rsid w:val="20484B28"/>
    <w:rsid w:val="205270E7"/>
    <w:rsid w:val="20B1597C"/>
    <w:rsid w:val="21107C64"/>
    <w:rsid w:val="21472AD0"/>
    <w:rsid w:val="21514190"/>
    <w:rsid w:val="21C109E9"/>
    <w:rsid w:val="21D67E69"/>
    <w:rsid w:val="225847F9"/>
    <w:rsid w:val="23597F29"/>
    <w:rsid w:val="24541EC9"/>
    <w:rsid w:val="2462145D"/>
    <w:rsid w:val="25BE15D6"/>
    <w:rsid w:val="25C77BF4"/>
    <w:rsid w:val="26472AAA"/>
    <w:rsid w:val="277059BF"/>
    <w:rsid w:val="27BA255A"/>
    <w:rsid w:val="288B0F82"/>
    <w:rsid w:val="28D226F4"/>
    <w:rsid w:val="28D67C7F"/>
    <w:rsid w:val="28E63C49"/>
    <w:rsid w:val="29C43C65"/>
    <w:rsid w:val="29D25E5C"/>
    <w:rsid w:val="2A351867"/>
    <w:rsid w:val="2C100919"/>
    <w:rsid w:val="2C936C30"/>
    <w:rsid w:val="2CD613D2"/>
    <w:rsid w:val="2D1050B9"/>
    <w:rsid w:val="2D153347"/>
    <w:rsid w:val="2D295E98"/>
    <w:rsid w:val="2D2A1CF1"/>
    <w:rsid w:val="2DAF0FA0"/>
    <w:rsid w:val="2E0A65A8"/>
    <w:rsid w:val="2EF65C57"/>
    <w:rsid w:val="2F7808DB"/>
    <w:rsid w:val="301A7FA6"/>
    <w:rsid w:val="30885017"/>
    <w:rsid w:val="31C725D8"/>
    <w:rsid w:val="31E70315"/>
    <w:rsid w:val="32352858"/>
    <w:rsid w:val="32D901DE"/>
    <w:rsid w:val="33957597"/>
    <w:rsid w:val="339C289B"/>
    <w:rsid w:val="33AC3E9B"/>
    <w:rsid w:val="346B6A82"/>
    <w:rsid w:val="35CD640B"/>
    <w:rsid w:val="35D772E5"/>
    <w:rsid w:val="35DA3A34"/>
    <w:rsid w:val="377F030D"/>
    <w:rsid w:val="37D466C6"/>
    <w:rsid w:val="381708BF"/>
    <w:rsid w:val="388E4CAC"/>
    <w:rsid w:val="38B038AB"/>
    <w:rsid w:val="39BD0890"/>
    <w:rsid w:val="39EF3888"/>
    <w:rsid w:val="3A67012A"/>
    <w:rsid w:val="3B2A3952"/>
    <w:rsid w:val="3B625907"/>
    <w:rsid w:val="3C5017EE"/>
    <w:rsid w:val="3CAA1627"/>
    <w:rsid w:val="3D3210E1"/>
    <w:rsid w:val="3E2E3C0E"/>
    <w:rsid w:val="3E343CDE"/>
    <w:rsid w:val="3E3602D5"/>
    <w:rsid w:val="3EE436F8"/>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F45753"/>
    <w:rsid w:val="44204329"/>
    <w:rsid w:val="44FD35A1"/>
    <w:rsid w:val="451A2E72"/>
    <w:rsid w:val="457D67B8"/>
    <w:rsid w:val="45D61D1B"/>
    <w:rsid w:val="465B1E95"/>
    <w:rsid w:val="467823B0"/>
    <w:rsid w:val="46ED68DD"/>
    <w:rsid w:val="482B3AD8"/>
    <w:rsid w:val="48866A0F"/>
    <w:rsid w:val="4A015527"/>
    <w:rsid w:val="4A581A46"/>
    <w:rsid w:val="4B112B71"/>
    <w:rsid w:val="4BA52676"/>
    <w:rsid w:val="4C6B12AB"/>
    <w:rsid w:val="4CBE1380"/>
    <w:rsid w:val="4CDC3A47"/>
    <w:rsid w:val="4D8D0EED"/>
    <w:rsid w:val="4E0B7835"/>
    <w:rsid w:val="4E6374A0"/>
    <w:rsid w:val="4EDC2D82"/>
    <w:rsid w:val="4F484719"/>
    <w:rsid w:val="4FE64F78"/>
    <w:rsid w:val="50101CBA"/>
    <w:rsid w:val="50502B31"/>
    <w:rsid w:val="51B3156D"/>
    <w:rsid w:val="523364F3"/>
    <w:rsid w:val="52452974"/>
    <w:rsid w:val="52A4335A"/>
    <w:rsid w:val="52B64652"/>
    <w:rsid w:val="533C311F"/>
    <w:rsid w:val="5486461F"/>
    <w:rsid w:val="54966634"/>
    <w:rsid w:val="55323A4C"/>
    <w:rsid w:val="569C053A"/>
    <w:rsid w:val="571479C7"/>
    <w:rsid w:val="58BA16F6"/>
    <w:rsid w:val="59617397"/>
    <w:rsid w:val="59FA3675"/>
    <w:rsid w:val="5A1C2F07"/>
    <w:rsid w:val="5AA73CA5"/>
    <w:rsid w:val="5B472825"/>
    <w:rsid w:val="5B9B36BD"/>
    <w:rsid w:val="5C844C0E"/>
    <w:rsid w:val="5D5A5641"/>
    <w:rsid w:val="5D5E4B33"/>
    <w:rsid w:val="5DD85B0C"/>
    <w:rsid w:val="5E720882"/>
    <w:rsid w:val="5E8C6849"/>
    <w:rsid w:val="5FBE7D86"/>
    <w:rsid w:val="606D729C"/>
    <w:rsid w:val="6120442E"/>
    <w:rsid w:val="61392C49"/>
    <w:rsid w:val="61551C69"/>
    <w:rsid w:val="61E91DC1"/>
    <w:rsid w:val="61EB6DF6"/>
    <w:rsid w:val="626863C4"/>
    <w:rsid w:val="628B20F9"/>
    <w:rsid w:val="63C76C37"/>
    <w:rsid w:val="63D32CF9"/>
    <w:rsid w:val="65990434"/>
    <w:rsid w:val="65ED19B5"/>
    <w:rsid w:val="66593A9F"/>
    <w:rsid w:val="672762CB"/>
    <w:rsid w:val="675D0F52"/>
    <w:rsid w:val="676B0BDC"/>
    <w:rsid w:val="67A84266"/>
    <w:rsid w:val="68FE10CA"/>
    <w:rsid w:val="69954D46"/>
    <w:rsid w:val="6A650E24"/>
    <w:rsid w:val="6AB03EB3"/>
    <w:rsid w:val="6BE1413E"/>
    <w:rsid w:val="6C560643"/>
    <w:rsid w:val="6C5C4755"/>
    <w:rsid w:val="6CC47F20"/>
    <w:rsid w:val="6D250CAB"/>
    <w:rsid w:val="6D6A226E"/>
    <w:rsid w:val="6D6E35B0"/>
    <w:rsid w:val="6D9E564E"/>
    <w:rsid w:val="6DD30080"/>
    <w:rsid w:val="6E647BAA"/>
    <w:rsid w:val="6E6C55F9"/>
    <w:rsid w:val="6E73050D"/>
    <w:rsid w:val="6ED8743F"/>
    <w:rsid w:val="6EF256F6"/>
    <w:rsid w:val="6F166551"/>
    <w:rsid w:val="6F7A5B80"/>
    <w:rsid w:val="6FB44460"/>
    <w:rsid w:val="6FFF6212"/>
    <w:rsid w:val="70994298"/>
    <w:rsid w:val="70A779CE"/>
    <w:rsid w:val="71E56F25"/>
    <w:rsid w:val="729F318F"/>
    <w:rsid w:val="73653AD9"/>
    <w:rsid w:val="75123154"/>
    <w:rsid w:val="752B36B1"/>
    <w:rsid w:val="75D44E15"/>
    <w:rsid w:val="7616433B"/>
    <w:rsid w:val="77BD025C"/>
    <w:rsid w:val="780B13D6"/>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Yu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1</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 ZTE</cp:lastModifiedBy>
  <cp:lastPrinted>2015-01-14T18:53:00Z</cp:lastPrinted>
  <dcterms:modified xsi:type="dcterms:W3CDTF">2019-10-03T00:53:03Z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